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789" w:rsidRPr="00D04B15" w:rsidRDefault="00606789" w:rsidP="00606789">
      <w:pPr>
        <w:adjustRightInd w:val="0"/>
        <w:snapToGrid w:val="0"/>
        <w:spacing w:line="460" w:lineRule="exact"/>
        <w:jc w:val="left"/>
        <w:rPr>
          <w:rFonts w:ascii="宋体" w:hAnsi="宋体" w:cs="宋体" w:hint="eastAsia"/>
          <w:b/>
          <w:sz w:val="28"/>
          <w:szCs w:val="28"/>
        </w:rPr>
      </w:pPr>
      <w:r w:rsidRPr="00D04B15">
        <w:rPr>
          <w:rFonts w:ascii="宋体" w:hAnsi="宋体" w:cs="宋体" w:hint="eastAsia"/>
          <w:b/>
          <w:sz w:val="28"/>
          <w:szCs w:val="28"/>
        </w:rPr>
        <w:t>附件三</w:t>
      </w:r>
    </w:p>
    <w:p w:rsidR="003F1818" w:rsidRPr="00D04B15" w:rsidRDefault="003F1818" w:rsidP="005F267E">
      <w:pPr>
        <w:adjustRightInd w:val="0"/>
        <w:snapToGrid w:val="0"/>
        <w:spacing w:line="460" w:lineRule="exact"/>
        <w:jc w:val="center"/>
        <w:rPr>
          <w:rFonts w:ascii="宋体" w:hAnsi="宋体" w:cs="宋体"/>
          <w:b/>
          <w:sz w:val="36"/>
          <w:szCs w:val="36"/>
        </w:rPr>
      </w:pPr>
      <w:r w:rsidRPr="00D04B15">
        <w:rPr>
          <w:rFonts w:ascii="宋体" w:hAnsi="宋体" w:cs="宋体" w:hint="eastAsia"/>
          <w:b/>
          <w:sz w:val="36"/>
          <w:szCs w:val="36"/>
        </w:rPr>
        <w:t>大会特邀报告人简介及报告摘要</w:t>
      </w:r>
    </w:p>
    <w:p w:rsidR="003F1818" w:rsidRPr="00D04B15" w:rsidRDefault="003F1818">
      <w:pPr>
        <w:adjustRightInd w:val="0"/>
        <w:snapToGrid w:val="0"/>
        <w:spacing w:line="520" w:lineRule="exact"/>
        <w:rPr>
          <w:sz w:val="28"/>
          <w:szCs w:val="28"/>
        </w:rPr>
      </w:pPr>
    </w:p>
    <w:p w:rsidR="005352D6" w:rsidRPr="00D04B15" w:rsidRDefault="003F1818" w:rsidP="00D04B15">
      <w:pPr>
        <w:tabs>
          <w:tab w:val="left" w:pos="0"/>
        </w:tabs>
        <w:adjustRightInd w:val="0"/>
        <w:snapToGrid w:val="0"/>
        <w:spacing w:line="520" w:lineRule="exact"/>
        <w:ind w:firstLineChars="132" w:firstLine="371"/>
        <w:rPr>
          <w:rFonts w:eastAsia="宋体"/>
          <w:sz w:val="28"/>
          <w:szCs w:val="28"/>
        </w:rPr>
      </w:pPr>
      <w:r w:rsidRPr="00D04B15">
        <w:rPr>
          <w:rFonts w:ascii="宋体" w:eastAsia="宋体" w:hAnsi="宋体" w:cs="Times New Roman" w:hint="eastAsia"/>
          <w:b/>
          <w:bCs/>
          <w:sz w:val="28"/>
          <w:szCs w:val="28"/>
        </w:rPr>
        <w:t>一、</w:t>
      </w:r>
      <w:r w:rsidR="00D15B08" w:rsidRPr="00D04B15">
        <w:rPr>
          <w:rFonts w:ascii="宋体" w:eastAsia="宋体" w:hAnsi="宋体" w:cs="Times New Roman" w:hint="eastAsia"/>
          <w:b/>
          <w:bCs/>
          <w:sz w:val="28"/>
          <w:szCs w:val="28"/>
        </w:rPr>
        <w:t>郭万林</w:t>
      </w:r>
      <w:r w:rsidRPr="00D04B15">
        <w:rPr>
          <w:rFonts w:ascii="宋体" w:eastAsia="宋体" w:hAnsi="宋体" w:cs="Times New Roman" w:hint="eastAsia"/>
          <w:b/>
          <w:bCs/>
          <w:sz w:val="28"/>
          <w:szCs w:val="28"/>
        </w:rPr>
        <w:t>院士</w:t>
      </w:r>
    </w:p>
    <w:p w:rsidR="005352D6" w:rsidRPr="00D04B15" w:rsidRDefault="00D15B08" w:rsidP="003F1818">
      <w:pPr>
        <w:adjustRightInd w:val="0"/>
        <w:snapToGrid w:val="0"/>
        <w:spacing w:line="520" w:lineRule="exact"/>
        <w:ind w:firstLineChars="151" w:firstLine="424"/>
        <w:rPr>
          <w:rFonts w:asciiTheme="minorEastAsia" w:hAnsiTheme="minorEastAsia" w:cstheme="minorEastAsia"/>
          <w:color w:val="222222"/>
          <w:kern w:val="0"/>
          <w:sz w:val="28"/>
          <w:szCs w:val="28"/>
        </w:rPr>
      </w:pPr>
      <w:r w:rsidRPr="00D04B15">
        <w:rPr>
          <w:rFonts w:asciiTheme="minorEastAsia" w:hAnsiTheme="minorEastAsia" w:cstheme="majorEastAsia" w:hint="eastAsia"/>
          <w:b/>
          <w:bCs/>
          <w:sz w:val="28"/>
          <w:szCs w:val="28"/>
        </w:rPr>
        <w:t>个人简介</w:t>
      </w:r>
      <w:r w:rsidRPr="00D04B15">
        <w:rPr>
          <w:rFonts w:asciiTheme="minorEastAsia" w:hAnsiTheme="minorEastAsia" w:cstheme="majorEastAsia" w:hint="eastAsia"/>
          <w:b/>
          <w:sz w:val="28"/>
          <w:szCs w:val="28"/>
        </w:rPr>
        <w:t>：</w:t>
      </w:r>
      <w:r w:rsidRPr="00D04B15">
        <w:rPr>
          <w:rFonts w:asciiTheme="minorEastAsia" w:hAnsiTheme="minorEastAsia" w:cstheme="majorEastAsia" w:hint="eastAsia"/>
          <w:sz w:val="28"/>
          <w:szCs w:val="28"/>
        </w:rPr>
        <w:t>郭万林，中国科学院院士，</w:t>
      </w:r>
      <w:r w:rsidRPr="00D04B15">
        <w:rPr>
          <w:rFonts w:asciiTheme="minorEastAsia" w:hAnsiTheme="minorEastAsia" w:cstheme="minorEastAsia" w:hint="eastAsia"/>
          <w:color w:val="222222"/>
          <w:kern w:val="0"/>
          <w:sz w:val="28"/>
          <w:szCs w:val="28"/>
        </w:rPr>
        <w:t xml:space="preserve">现任南京航空航天大学纳米科学研究所所长，纳智能材料器件教育部重点实验室主任，机械结构力学及控制国家重点实验室副主任。长期从事新型功能材料与器件、飞机结构抗疲劳断裂设计方面的理论难题和关键技术的研究。建立了低维材料结构力-电-磁-热耦合的物理力学理论体系；在宏观工程环境中发现了流-固界面边界运动生电、气流生电和蒸发生电效应，突破了经典双电层动电理论。建立了飞机结构三维疲劳断裂理论、攻克了飞机结构三维损伤容限关键技术，成果被系统地用于飞机型号研制，解决了型号研制急需。在Nature Nanotech.、Nature </w:t>
      </w:r>
      <w:proofErr w:type="spellStart"/>
      <w:r w:rsidRPr="00D04B15">
        <w:rPr>
          <w:rFonts w:asciiTheme="minorEastAsia" w:hAnsiTheme="minorEastAsia" w:cstheme="minorEastAsia" w:hint="eastAsia"/>
          <w:color w:val="222222"/>
          <w:kern w:val="0"/>
          <w:sz w:val="28"/>
          <w:szCs w:val="28"/>
        </w:rPr>
        <w:t>Commun</w:t>
      </w:r>
      <w:proofErr w:type="spellEnd"/>
      <w:r w:rsidRPr="00D04B15">
        <w:rPr>
          <w:rFonts w:asciiTheme="minorEastAsia" w:hAnsiTheme="minorEastAsia" w:cstheme="minorEastAsia" w:hint="eastAsia"/>
          <w:color w:val="222222"/>
          <w:kern w:val="0"/>
          <w:sz w:val="28"/>
          <w:szCs w:val="28"/>
        </w:rPr>
        <w:t>.、PRL、Adv. Mater.、JACS、Nano Lett.、JMPS等刊物发表学术论文400多篇，多次被选为封面，被SCI收录287篇、篇均被引20次，SCI他引5148次；2014、2015、2016年连续入选爱思唯尔中国高被引学者榜单。已申请中国发明专利21项，授权8项。1996年获国家杰出青年基金资助，1999年受聘教育部“长江学者奖励计划”特聘教授，2005年带领“纳尺度物理力学”团队入选教育部“长江学者创新团队”。2012年全国优秀科技工作，</w:t>
      </w:r>
      <w:proofErr w:type="gramStart"/>
      <w:r w:rsidRPr="00D04B15">
        <w:rPr>
          <w:rFonts w:asciiTheme="minorEastAsia" w:hAnsiTheme="minorEastAsia" w:cstheme="minorEastAsia" w:hint="eastAsia"/>
          <w:color w:val="222222"/>
          <w:kern w:val="0"/>
          <w:sz w:val="28"/>
          <w:szCs w:val="28"/>
        </w:rPr>
        <w:t>2013年获徐芝</w:t>
      </w:r>
      <w:proofErr w:type="gramEnd"/>
      <w:r w:rsidRPr="00D04B15">
        <w:rPr>
          <w:rFonts w:asciiTheme="minorEastAsia" w:hAnsiTheme="minorEastAsia" w:cstheme="minorEastAsia" w:hint="eastAsia"/>
          <w:color w:val="222222"/>
          <w:kern w:val="0"/>
          <w:sz w:val="28"/>
          <w:szCs w:val="28"/>
        </w:rPr>
        <w:t>纶力学奖，《低维纳米功能材料与器件原理的物理力学研究》成果获2012年国家自然科学二等奖和2011年教育部自然科学一等奖（均为第一完成人）。已培养36名博士，包括杰青、优青、青千、全国优博</w:t>
      </w:r>
      <w:proofErr w:type="gramStart"/>
      <w:r w:rsidRPr="00D04B15">
        <w:rPr>
          <w:rFonts w:asciiTheme="minorEastAsia" w:hAnsiTheme="minorEastAsia" w:cstheme="minorEastAsia" w:hint="eastAsia"/>
          <w:color w:val="222222"/>
          <w:kern w:val="0"/>
          <w:sz w:val="28"/>
          <w:szCs w:val="28"/>
        </w:rPr>
        <w:t>和优博提名</w:t>
      </w:r>
      <w:proofErr w:type="gramEnd"/>
      <w:r w:rsidRPr="00D04B15">
        <w:rPr>
          <w:rFonts w:asciiTheme="minorEastAsia" w:hAnsiTheme="minorEastAsia" w:cstheme="minorEastAsia" w:hint="eastAsia"/>
          <w:color w:val="222222"/>
          <w:kern w:val="0"/>
          <w:sz w:val="28"/>
          <w:szCs w:val="28"/>
        </w:rPr>
        <w:t>等优秀人才。近10年在国际会议做大会、主题和邀请报告50多次。</w:t>
      </w:r>
    </w:p>
    <w:p w:rsidR="005352D6" w:rsidRPr="00D04B15" w:rsidRDefault="00D15B08" w:rsidP="00D04B15">
      <w:pPr>
        <w:widowControl/>
        <w:shd w:val="clear" w:color="auto" w:fill="FFFFFF"/>
        <w:adjustRightInd w:val="0"/>
        <w:snapToGrid w:val="0"/>
        <w:spacing w:line="520" w:lineRule="exact"/>
        <w:ind w:firstLineChars="151" w:firstLine="424"/>
        <w:rPr>
          <w:rFonts w:asciiTheme="minorEastAsia" w:hAnsiTheme="minorEastAsia" w:cstheme="minorEastAsia"/>
          <w:sz w:val="28"/>
          <w:szCs w:val="28"/>
        </w:rPr>
      </w:pPr>
      <w:r w:rsidRPr="00D04B15">
        <w:rPr>
          <w:rFonts w:asciiTheme="minorEastAsia" w:hAnsiTheme="minorEastAsia" w:cstheme="minorEastAsia" w:hint="eastAsia"/>
          <w:b/>
          <w:bCs/>
          <w:sz w:val="28"/>
          <w:szCs w:val="28"/>
        </w:rPr>
        <w:t>报告题目：</w:t>
      </w:r>
      <w:proofErr w:type="gramStart"/>
      <w:r w:rsidRPr="00D04B15">
        <w:rPr>
          <w:rFonts w:asciiTheme="minorEastAsia" w:hAnsiTheme="minorEastAsia" w:cstheme="minorEastAsia" w:hint="eastAsia"/>
          <w:color w:val="000000"/>
          <w:kern w:val="0"/>
          <w:sz w:val="28"/>
          <w:szCs w:val="28"/>
          <w:shd w:val="clear" w:color="auto" w:fill="FFFFFF"/>
          <w:lang w:bidi="ar"/>
        </w:rPr>
        <w:t>水伏科学技术</w:t>
      </w:r>
      <w:proofErr w:type="gramEnd"/>
      <w:r w:rsidRPr="00D04B15">
        <w:rPr>
          <w:rFonts w:asciiTheme="minorEastAsia" w:hAnsiTheme="minorEastAsia" w:cstheme="minorEastAsia" w:hint="eastAsia"/>
          <w:color w:val="000000"/>
          <w:kern w:val="0"/>
          <w:sz w:val="28"/>
          <w:szCs w:val="28"/>
          <w:shd w:val="clear" w:color="auto" w:fill="FFFFFF"/>
          <w:lang w:bidi="ar"/>
        </w:rPr>
        <w:t>的召唤</w:t>
      </w:r>
      <w:r w:rsidRPr="00D04B15">
        <w:rPr>
          <w:rFonts w:asciiTheme="minorEastAsia" w:hAnsiTheme="minorEastAsia" w:cstheme="minorEastAsia" w:hint="eastAsia"/>
          <w:sz w:val="28"/>
          <w:szCs w:val="28"/>
          <w:lang w:val="en"/>
        </w:rPr>
        <w:t xml:space="preserve">Emerging </w:t>
      </w:r>
      <w:proofErr w:type="spellStart"/>
      <w:r w:rsidRPr="00D04B15">
        <w:rPr>
          <w:rFonts w:asciiTheme="minorEastAsia" w:hAnsiTheme="minorEastAsia" w:cstheme="minorEastAsia" w:hint="eastAsia"/>
          <w:sz w:val="28"/>
          <w:szCs w:val="28"/>
          <w:lang w:val="en"/>
        </w:rPr>
        <w:t>Hydrovoltaic</w:t>
      </w:r>
      <w:proofErr w:type="spellEnd"/>
      <w:r w:rsidRPr="00D04B15">
        <w:rPr>
          <w:rFonts w:asciiTheme="minorEastAsia" w:hAnsiTheme="minorEastAsia" w:cstheme="minorEastAsia" w:hint="eastAsia"/>
          <w:sz w:val="28"/>
          <w:szCs w:val="28"/>
          <w:lang w:val="en"/>
        </w:rPr>
        <w:t xml:space="preserve"> Technology</w:t>
      </w:r>
      <w:bookmarkStart w:id="0" w:name="_GoBack"/>
      <w:bookmarkEnd w:id="0"/>
    </w:p>
    <w:p w:rsidR="005352D6" w:rsidRPr="00D04B15" w:rsidRDefault="00D15B08" w:rsidP="003F1818">
      <w:pPr>
        <w:adjustRightInd w:val="0"/>
        <w:snapToGrid w:val="0"/>
        <w:spacing w:line="520" w:lineRule="exact"/>
        <w:ind w:firstLineChars="151" w:firstLine="424"/>
        <w:rPr>
          <w:rFonts w:asciiTheme="minorEastAsia" w:hAnsiTheme="minorEastAsia" w:cstheme="minorEastAsia"/>
          <w:sz w:val="28"/>
          <w:szCs w:val="28"/>
        </w:rPr>
      </w:pPr>
      <w:r w:rsidRPr="00D04B15">
        <w:rPr>
          <w:rFonts w:asciiTheme="minorEastAsia" w:hAnsiTheme="minorEastAsia" w:cstheme="minorEastAsia" w:hint="eastAsia"/>
          <w:b/>
          <w:bCs/>
          <w:sz w:val="28"/>
          <w:szCs w:val="28"/>
        </w:rPr>
        <w:t>报告摘要：</w:t>
      </w:r>
      <w:r w:rsidRPr="00D04B15">
        <w:rPr>
          <w:rFonts w:asciiTheme="minorEastAsia" w:hAnsiTheme="minorEastAsia" w:cstheme="minorEastAsia" w:hint="eastAsia"/>
          <w:color w:val="000000"/>
          <w:sz w:val="28"/>
          <w:szCs w:val="28"/>
        </w:rPr>
        <w:t xml:space="preserve">Water is not only the essence of life, but also </w:t>
      </w:r>
      <w:r w:rsidRPr="00D04B15">
        <w:rPr>
          <w:rFonts w:asciiTheme="minorEastAsia" w:hAnsiTheme="minorEastAsia" w:cstheme="minorEastAsia" w:hint="eastAsia"/>
          <w:color w:val="000000"/>
          <w:sz w:val="28"/>
          <w:szCs w:val="28"/>
        </w:rPr>
        <w:lastRenderedPageBreak/>
        <w:t xml:space="preserve">the largest energy carrier on earth. Water covers about 70% of the earth's surface, absorbing 70% of the solar energy </w:t>
      </w:r>
      <w:proofErr w:type="gramStart"/>
      <w:r w:rsidRPr="00D04B15">
        <w:rPr>
          <w:rFonts w:asciiTheme="minorEastAsia" w:hAnsiTheme="minorEastAsia" w:cstheme="minorEastAsia" w:hint="eastAsia"/>
          <w:color w:val="000000"/>
          <w:sz w:val="28"/>
          <w:szCs w:val="28"/>
        </w:rPr>
        <w:t>arriving</w:t>
      </w:r>
      <w:proofErr w:type="gramEnd"/>
      <w:r w:rsidRPr="00D04B15">
        <w:rPr>
          <w:rFonts w:asciiTheme="minorEastAsia" w:hAnsiTheme="minorEastAsia" w:cstheme="minorEastAsia" w:hint="eastAsia"/>
          <w:color w:val="000000"/>
          <w:sz w:val="28"/>
          <w:szCs w:val="28"/>
        </w:rPr>
        <w:t xml:space="preserve"> the earth, and in the atmosphere it can exist in liquid, gaseous and solid states. In human history, through a variety of scientific principles, such as running water driven wheel, steam locomotives, water driven generator as well as the </w:t>
      </w:r>
      <w:proofErr w:type="spellStart"/>
      <w:r w:rsidRPr="00D04B15">
        <w:rPr>
          <w:rFonts w:asciiTheme="minorEastAsia" w:hAnsiTheme="minorEastAsia" w:cstheme="minorEastAsia" w:hint="eastAsia"/>
          <w:color w:val="000000"/>
          <w:sz w:val="28"/>
          <w:szCs w:val="28"/>
        </w:rPr>
        <w:t>electrokinetic</w:t>
      </w:r>
      <w:proofErr w:type="spellEnd"/>
      <w:r w:rsidRPr="00D04B15">
        <w:rPr>
          <w:rFonts w:asciiTheme="minorEastAsia" w:hAnsiTheme="minorEastAsia" w:cstheme="minorEastAsia" w:hint="eastAsia"/>
          <w:color w:val="000000"/>
          <w:sz w:val="28"/>
          <w:szCs w:val="28"/>
        </w:rPr>
        <w:t xml:space="preserve"> effects, the potential energy or kinetic energy of water can be converted into useful mechanical motion and electrical energy according to the principles of classical mechanics and electromagnetic dynamics. In recent years, we have theoretically and experimentally investigated the fluid-solid-electric coupling functionalization of graphene and other two-dimensional materials. It is found that carbon nanostructures can generate electricity from water energy by direct interaction with water, even by natural water evaporation from cheap carbon nanomaterials, a phenomenon that we termed as </w:t>
      </w:r>
      <w:proofErr w:type="spellStart"/>
      <w:r w:rsidRPr="00D04B15">
        <w:rPr>
          <w:rFonts w:asciiTheme="minorEastAsia" w:hAnsiTheme="minorEastAsia" w:cstheme="minorEastAsia" w:hint="eastAsia"/>
          <w:color w:val="000000"/>
          <w:sz w:val="28"/>
          <w:szCs w:val="28"/>
        </w:rPr>
        <w:t>hydrovoltaic</w:t>
      </w:r>
      <w:proofErr w:type="spellEnd"/>
      <w:r w:rsidRPr="00D04B15">
        <w:rPr>
          <w:rFonts w:asciiTheme="minorEastAsia" w:hAnsiTheme="minorEastAsia" w:cstheme="minorEastAsia" w:hint="eastAsia"/>
          <w:color w:val="000000"/>
          <w:sz w:val="28"/>
          <w:szCs w:val="28"/>
        </w:rPr>
        <w:t xml:space="preserve"> effect, which potentially extends the technical capability of water energy harvesting and enables creation of self-powered devices. Here, starting by presenting the water energy on the earth, fundamental properties of water and water-solid interfaces, we discussed basic mechanisms of harvesting water energy by carbon nanostructured materials and key aspects pertaining to water-carbon interaction. Experimental advances in generating electricity from water flows, waves, especially natural water-evaporation were then reviewed to show correlations in mechanisms and potential for </w:t>
      </w:r>
      <w:r w:rsidRPr="00D04B15">
        <w:rPr>
          <w:rFonts w:asciiTheme="minorEastAsia" w:hAnsiTheme="minorEastAsia" w:cstheme="minorEastAsia" w:hint="eastAsia"/>
          <w:color w:val="000000"/>
          <w:sz w:val="28"/>
          <w:szCs w:val="28"/>
        </w:rPr>
        <w:lastRenderedPageBreak/>
        <w:t xml:space="preserve">integration, offering a prospect of harvesting energy from the nature cycle of water on the earth. Main challenges in promoting the energy conversion efficiency and scaling up the output power will be outlined, and finally discuss potential development and applications of the </w:t>
      </w:r>
      <w:proofErr w:type="spellStart"/>
      <w:r w:rsidRPr="00D04B15">
        <w:rPr>
          <w:rFonts w:asciiTheme="minorEastAsia" w:hAnsiTheme="minorEastAsia" w:cstheme="minorEastAsia" w:hint="eastAsia"/>
          <w:color w:val="000000"/>
          <w:sz w:val="28"/>
          <w:szCs w:val="28"/>
        </w:rPr>
        <w:t>hydrovoltaic</w:t>
      </w:r>
      <w:proofErr w:type="spellEnd"/>
      <w:r w:rsidRPr="00D04B15">
        <w:rPr>
          <w:rFonts w:asciiTheme="minorEastAsia" w:hAnsiTheme="minorEastAsia" w:cstheme="minorEastAsia" w:hint="eastAsia"/>
          <w:color w:val="000000"/>
          <w:sz w:val="28"/>
          <w:szCs w:val="28"/>
        </w:rPr>
        <w:t xml:space="preserve"> technology.</w:t>
      </w:r>
    </w:p>
    <w:p w:rsidR="005352D6" w:rsidRPr="00D04B15" w:rsidRDefault="005352D6">
      <w:pPr>
        <w:adjustRightInd w:val="0"/>
        <w:snapToGrid w:val="0"/>
        <w:spacing w:line="520" w:lineRule="exact"/>
        <w:rPr>
          <w:rFonts w:asciiTheme="minorEastAsia" w:hAnsiTheme="minorEastAsia"/>
          <w:sz w:val="28"/>
          <w:szCs w:val="28"/>
        </w:rPr>
      </w:pPr>
    </w:p>
    <w:p w:rsidR="005352D6" w:rsidRPr="00D04B15" w:rsidRDefault="003F1818" w:rsidP="00D04B15">
      <w:pPr>
        <w:adjustRightInd w:val="0"/>
        <w:snapToGrid w:val="0"/>
        <w:spacing w:line="520" w:lineRule="exact"/>
        <w:ind w:firstLineChars="132" w:firstLine="371"/>
        <w:rPr>
          <w:rFonts w:ascii="宋体" w:eastAsia="宋体" w:hAnsi="宋体" w:cs="Times New Roman"/>
          <w:b/>
          <w:bCs/>
          <w:sz w:val="28"/>
          <w:szCs w:val="28"/>
        </w:rPr>
      </w:pPr>
      <w:r w:rsidRPr="00D04B15">
        <w:rPr>
          <w:rFonts w:ascii="宋体" w:eastAsia="宋体" w:hAnsi="宋体" w:cs="Times New Roman" w:hint="eastAsia"/>
          <w:b/>
          <w:bCs/>
          <w:sz w:val="28"/>
          <w:szCs w:val="28"/>
        </w:rPr>
        <w:t>二、</w:t>
      </w:r>
      <w:r w:rsidR="00D15B08" w:rsidRPr="00D04B15">
        <w:rPr>
          <w:rFonts w:ascii="宋体" w:eastAsia="宋体" w:hAnsi="宋体" w:cs="Times New Roman" w:hint="eastAsia"/>
          <w:b/>
          <w:bCs/>
          <w:sz w:val="28"/>
          <w:szCs w:val="28"/>
        </w:rPr>
        <w:t>杜江峰</w:t>
      </w:r>
      <w:r w:rsidRPr="00D04B15">
        <w:rPr>
          <w:rFonts w:ascii="宋体" w:eastAsia="宋体" w:hAnsi="宋体" w:cs="Times New Roman" w:hint="eastAsia"/>
          <w:b/>
          <w:bCs/>
          <w:sz w:val="28"/>
          <w:szCs w:val="28"/>
        </w:rPr>
        <w:t>院士</w:t>
      </w:r>
    </w:p>
    <w:p w:rsidR="003F1818" w:rsidRPr="00D04B15" w:rsidRDefault="00D15B08" w:rsidP="003F1818">
      <w:pPr>
        <w:adjustRightInd w:val="0"/>
        <w:snapToGrid w:val="0"/>
        <w:spacing w:line="520" w:lineRule="exact"/>
        <w:ind w:firstLineChars="151" w:firstLine="424"/>
        <w:rPr>
          <w:rFonts w:asciiTheme="minorEastAsia" w:hAnsiTheme="minorEastAsia" w:cstheme="minorEastAsia"/>
          <w:kern w:val="0"/>
          <w:sz w:val="28"/>
          <w:szCs w:val="28"/>
        </w:rPr>
      </w:pPr>
      <w:r w:rsidRPr="00D04B15">
        <w:rPr>
          <w:rFonts w:asciiTheme="minorEastAsia" w:hAnsiTheme="minorEastAsia" w:cstheme="minorEastAsia" w:hint="eastAsia"/>
          <w:b/>
          <w:bCs/>
          <w:sz w:val="28"/>
          <w:szCs w:val="28"/>
        </w:rPr>
        <w:t>个人简介</w:t>
      </w:r>
      <w:r w:rsidRPr="00D04B15">
        <w:rPr>
          <w:rFonts w:asciiTheme="minorEastAsia" w:hAnsiTheme="minorEastAsia" w:cstheme="minorEastAsia" w:hint="eastAsia"/>
          <w:sz w:val="28"/>
          <w:szCs w:val="28"/>
        </w:rPr>
        <w:t>：</w:t>
      </w:r>
      <w:r w:rsidRPr="00D04B15">
        <w:rPr>
          <w:rFonts w:asciiTheme="minorEastAsia" w:hAnsiTheme="minorEastAsia" w:cstheme="minorEastAsia" w:hint="eastAsia"/>
          <w:kern w:val="0"/>
          <w:sz w:val="28"/>
          <w:szCs w:val="28"/>
        </w:rPr>
        <w:t>杜江峰，中国科学院院士，中国科学技术大学教授，党委常委、副校长。中国科学院院士，教育部长</w:t>
      </w:r>
      <w:proofErr w:type="gramStart"/>
      <w:r w:rsidRPr="00D04B15">
        <w:rPr>
          <w:rFonts w:asciiTheme="minorEastAsia" w:hAnsiTheme="minorEastAsia" w:cstheme="minorEastAsia" w:hint="eastAsia"/>
          <w:kern w:val="0"/>
          <w:sz w:val="28"/>
          <w:szCs w:val="28"/>
        </w:rPr>
        <w:t>江学者</w:t>
      </w:r>
      <w:proofErr w:type="gramEnd"/>
      <w:r w:rsidRPr="00D04B15">
        <w:rPr>
          <w:rFonts w:asciiTheme="minorEastAsia" w:hAnsiTheme="minorEastAsia" w:cstheme="minorEastAsia" w:hint="eastAsia"/>
          <w:kern w:val="0"/>
          <w:sz w:val="28"/>
          <w:szCs w:val="28"/>
        </w:rPr>
        <w:t>特聘教授，国家杰出青年科学基金获得者，国家重大科学研究计划项目首席科学家，首批国家万人计划“中青年科技创新领军人才”入选者，新世纪百千万人才工程国家级人选。2000年获中国科学技术大学理学博士学位。长期从事量子物理及其应用的实验研究，是国际上自旋量子调控实验研究领域有突出贡献的学者之一，在包括Nature (2篇)、Science (2篇)、Nature Physics (2篇) 、Nature Methods (1篇)、Nature Communications (8篇) 和Phys. Rev. Lett. (33篇)在内的国际学术期刊上发表论文180余篇，SCI他引4000余次。成果多次入选中国十大科技进展新闻、中国科学十大进展、中国高校十大科技进展。曾获得国家自然科学二等奖（2012年度）、中国物理学会黄昆物理奖（2010-2011年度）、教育部自然科学一等奖（2011年度）、周光召基金会“基础科学奖”（2016年）、首届全国创新争先奖状（2017年）、中国分析测试协会科学技术奖特等奖（2015年）等奖项。</w:t>
      </w:r>
    </w:p>
    <w:p w:rsidR="005352D6" w:rsidRPr="00D04B15" w:rsidRDefault="00D15B08" w:rsidP="003F1818">
      <w:pPr>
        <w:adjustRightInd w:val="0"/>
        <w:snapToGrid w:val="0"/>
        <w:spacing w:line="520" w:lineRule="exact"/>
        <w:ind w:firstLineChars="151" w:firstLine="424"/>
        <w:rPr>
          <w:rFonts w:asciiTheme="minorEastAsia" w:hAnsiTheme="minorEastAsia" w:cstheme="minorEastAsia"/>
          <w:sz w:val="28"/>
          <w:szCs w:val="28"/>
        </w:rPr>
      </w:pPr>
      <w:r w:rsidRPr="00D04B15">
        <w:rPr>
          <w:rFonts w:asciiTheme="minorEastAsia" w:hAnsiTheme="minorEastAsia" w:cstheme="minorEastAsia" w:hint="eastAsia"/>
          <w:b/>
          <w:bCs/>
          <w:sz w:val="28"/>
          <w:szCs w:val="28"/>
        </w:rPr>
        <w:t>报告题目：</w:t>
      </w:r>
      <w:r w:rsidRPr="00D04B15">
        <w:rPr>
          <w:rFonts w:asciiTheme="minorEastAsia" w:hAnsiTheme="minorEastAsia" w:cstheme="minorEastAsia" w:hint="eastAsia"/>
          <w:sz w:val="28"/>
          <w:szCs w:val="28"/>
        </w:rPr>
        <w:t>量子计算与精密测量</w:t>
      </w:r>
    </w:p>
    <w:p w:rsidR="005352D6" w:rsidRPr="00D04B15" w:rsidRDefault="00D15B08" w:rsidP="003F1818">
      <w:pPr>
        <w:adjustRightInd w:val="0"/>
        <w:snapToGrid w:val="0"/>
        <w:spacing w:line="520" w:lineRule="exact"/>
        <w:ind w:firstLineChars="151" w:firstLine="424"/>
        <w:rPr>
          <w:rFonts w:asciiTheme="minorEastAsia" w:hAnsiTheme="minorEastAsia" w:cstheme="minorEastAsia"/>
          <w:sz w:val="28"/>
          <w:szCs w:val="28"/>
        </w:rPr>
      </w:pPr>
      <w:r w:rsidRPr="00D04B15">
        <w:rPr>
          <w:rFonts w:asciiTheme="minorEastAsia" w:hAnsiTheme="minorEastAsia" w:cstheme="minorEastAsia" w:hint="eastAsia"/>
          <w:b/>
          <w:sz w:val="28"/>
          <w:szCs w:val="28"/>
        </w:rPr>
        <w:t>报告摘要：</w:t>
      </w:r>
      <w:r w:rsidRPr="00D04B15">
        <w:rPr>
          <w:rFonts w:asciiTheme="minorEastAsia" w:hAnsiTheme="minorEastAsia" w:cstheme="minorEastAsia" w:hint="eastAsia"/>
          <w:sz w:val="28"/>
          <w:szCs w:val="28"/>
        </w:rPr>
        <w:t>量子学说诞生后的百余年间，人们在认识和利用量子规律上取得了长足的进步。特别是近二十年以来，随着掌控量子效应和定制量子系统能力的不断深入，一批扎根于纯粹量子效应的量子技</w:t>
      </w:r>
      <w:r w:rsidRPr="00D04B15">
        <w:rPr>
          <w:rFonts w:asciiTheme="minorEastAsia" w:hAnsiTheme="minorEastAsia" w:cstheme="minorEastAsia" w:hint="eastAsia"/>
          <w:sz w:val="28"/>
          <w:szCs w:val="28"/>
        </w:rPr>
        <w:lastRenderedPageBreak/>
        <w:t>术正从梦想走向现实。这些变革性技术能够突破信息和物质科学技术的经典极限，将会对人类文明产生深远影响，被公认为“第二次量子革命”来临的标志。本报告回顾了中国科学院微观磁共振重点实验室在基于自旋量子调控的量子计算、量子精密测量和相关量子物理实验技术与装备研制方面取得的进展，并对相关研究方向的未来发展作简要展望。</w:t>
      </w:r>
    </w:p>
    <w:p w:rsidR="005352D6" w:rsidRPr="00D04B15" w:rsidRDefault="005352D6">
      <w:pPr>
        <w:rPr>
          <w:sz w:val="28"/>
          <w:szCs w:val="28"/>
        </w:rPr>
      </w:pPr>
    </w:p>
    <w:p w:rsidR="005352D6" w:rsidRPr="00D04B15" w:rsidRDefault="00D15B08" w:rsidP="00D04B15">
      <w:pPr>
        <w:adjustRightInd w:val="0"/>
        <w:snapToGrid w:val="0"/>
        <w:spacing w:line="520" w:lineRule="exact"/>
        <w:ind w:firstLineChars="132" w:firstLine="371"/>
        <w:rPr>
          <w:rFonts w:ascii="宋体" w:eastAsia="宋体" w:hAnsi="宋体" w:cs="Times New Roman"/>
          <w:b/>
          <w:bCs/>
          <w:sz w:val="28"/>
          <w:szCs w:val="28"/>
        </w:rPr>
      </w:pPr>
      <w:r w:rsidRPr="00D04B15">
        <w:rPr>
          <w:rFonts w:ascii="宋体" w:eastAsia="宋体" w:hAnsi="宋体" w:cs="Times New Roman" w:hint="eastAsia"/>
          <w:b/>
          <w:bCs/>
          <w:sz w:val="28"/>
          <w:szCs w:val="28"/>
        </w:rPr>
        <w:t>三</w:t>
      </w:r>
      <w:r w:rsidR="003F1818" w:rsidRPr="00D04B15">
        <w:rPr>
          <w:rFonts w:ascii="宋体" w:eastAsia="宋体" w:hAnsi="宋体" w:cs="Times New Roman" w:hint="eastAsia"/>
          <w:b/>
          <w:bCs/>
          <w:sz w:val="28"/>
          <w:szCs w:val="28"/>
        </w:rPr>
        <w:t>、</w:t>
      </w:r>
      <w:r w:rsidRPr="00D04B15">
        <w:rPr>
          <w:rFonts w:ascii="宋体" w:eastAsia="宋体" w:hAnsi="宋体" w:cs="Times New Roman" w:hint="eastAsia"/>
          <w:b/>
          <w:bCs/>
          <w:sz w:val="28"/>
          <w:szCs w:val="28"/>
        </w:rPr>
        <w:t>汤超</w:t>
      </w:r>
      <w:r w:rsidR="003F1818" w:rsidRPr="00D04B15">
        <w:rPr>
          <w:rFonts w:ascii="宋体" w:eastAsia="宋体" w:hAnsi="宋体" w:cs="Times New Roman" w:hint="eastAsia"/>
          <w:b/>
          <w:bCs/>
          <w:sz w:val="28"/>
          <w:szCs w:val="28"/>
        </w:rPr>
        <w:t>教授</w:t>
      </w:r>
    </w:p>
    <w:p w:rsidR="005352D6" w:rsidRPr="00D04B15" w:rsidRDefault="00D15B08" w:rsidP="003F1818">
      <w:pPr>
        <w:ind w:firstLineChars="151" w:firstLine="424"/>
        <w:rPr>
          <w:rFonts w:asciiTheme="majorEastAsia" w:eastAsiaTheme="majorEastAsia" w:hAnsiTheme="majorEastAsia" w:cstheme="majorEastAsia"/>
          <w:sz w:val="28"/>
          <w:szCs w:val="28"/>
        </w:rPr>
      </w:pPr>
      <w:r w:rsidRPr="00D04B15">
        <w:rPr>
          <w:rFonts w:asciiTheme="majorEastAsia" w:eastAsiaTheme="majorEastAsia" w:hAnsiTheme="majorEastAsia" w:cstheme="majorEastAsia" w:hint="eastAsia"/>
          <w:b/>
          <w:bCs/>
          <w:sz w:val="28"/>
          <w:szCs w:val="28"/>
        </w:rPr>
        <w:t>个人简介</w:t>
      </w:r>
      <w:r w:rsidRPr="00D04B15">
        <w:rPr>
          <w:rFonts w:asciiTheme="majorEastAsia" w:eastAsiaTheme="majorEastAsia" w:hAnsiTheme="majorEastAsia" w:cstheme="majorEastAsia" w:hint="eastAsia"/>
          <w:sz w:val="28"/>
          <w:szCs w:val="28"/>
        </w:rPr>
        <w:t>：汤超，北京大学讲席教授，前沿交叉学科研究院执行院长，定量生物学中心主任，北京大学-清华大学生命科学联合中心学术委员会主任。中国科技大学力学系本科，美国芝加哥大学物理系博士，美国物理学会会士。曾任美国加州大学旧金山分校终身正教授，北京大学长江讲座教授 。2011年入选国家“千人计划”，全职到北大工作。汤超教授在统计物理、凝聚态物理、非线性科学、系统生物学等领域做出了许多开创性工作。多年来致力于用物理学思想及方法研究生物问题，探索生命系统中的定量规律和设计原理。</w:t>
      </w:r>
    </w:p>
    <w:p w:rsidR="005352D6" w:rsidRPr="00D04B15" w:rsidRDefault="00D15B08" w:rsidP="003F1818">
      <w:pPr>
        <w:adjustRightInd w:val="0"/>
        <w:snapToGrid w:val="0"/>
        <w:spacing w:line="520" w:lineRule="exact"/>
        <w:ind w:firstLineChars="151" w:firstLine="424"/>
        <w:rPr>
          <w:rFonts w:asciiTheme="majorEastAsia" w:eastAsiaTheme="majorEastAsia" w:hAnsiTheme="majorEastAsia" w:cstheme="majorEastAsia"/>
          <w:b/>
          <w:bCs/>
          <w:sz w:val="28"/>
          <w:szCs w:val="28"/>
        </w:rPr>
      </w:pPr>
      <w:r w:rsidRPr="00D04B15">
        <w:rPr>
          <w:rFonts w:asciiTheme="majorEastAsia" w:eastAsiaTheme="majorEastAsia" w:hAnsiTheme="majorEastAsia" w:cstheme="majorEastAsia" w:hint="eastAsia"/>
          <w:b/>
          <w:bCs/>
          <w:sz w:val="28"/>
          <w:szCs w:val="28"/>
        </w:rPr>
        <w:t>报告题目：</w:t>
      </w:r>
      <w:r w:rsidRPr="00D04B15">
        <w:rPr>
          <w:rFonts w:asciiTheme="majorEastAsia" w:eastAsiaTheme="majorEastAsia" w:hAnsiTheme="majorEastAsia" w:cstheme="majorEastAsia" w:hint="eastAsia"/>
          <w:bCs/>
          <w:sz w:val="28"/>
          <w:szCs w:val="28"/>
        </w:rPr>
        <w:t>生命的物理</w:t>
      </w:r>
    </w:p>
    <w:p w:rsidR="005352D6" w:rsidRPr="00D04B15" w:rsidRDefault="00D15B08" w:rsidP="003F1818">
      <w:pPr>
        <w:adjustRightInd w:val="0"/>
        <w:snapToGrid w:val="0"/>
        <w:spacing w:line="520" w:lineRule="exact"/>
        <w:ind w:firstLineChars="151" w:firstLine="424"/>
        <w:rPr>
          <w:rFonts w:asciiTheme="majorEastAsia" w:eastAsiaTheme="majorEastAsia" w:hAnsiTheme="majorEastAsia" w:cstheme="majorEastAsia"/>
          <w:sz w:val="28"/>
          <w:szCs w:val="28"/>
        </w:rPr>
      </w:pPr>
      <w:r w:rsidRPr="00D04B15">
        <w:rPr>
          <w:rFonts w:asciiTheme="majorEastAsia" w:eastAsiaTheme="majorEastAsia" w:hAnsiTheme="majorEastAsia" w:cstheme="majorEastAsia" w:hint="eastAsia"/>
          <w:b/>
          <w:bCs/>
          <w:sz w:val="28"/>
          <w:szCs w:val="28"/>
        </w:rPr>
        <w:t>报告摘要：</w:t>
      </w:r>
      <w:r w:rsidRPr="00D04B15">
        <w:rPr>
          <w:rFonts w:asciiTheme="majorEastAsia" w:eastAsiaTheme="majorEastAsia" w:hAnsiTheme="majorEastAsia" w:cstheme="majorEastAsia" w:hint="eastAsia"/>
          <w:sz w:val="28"/>
          <w:szCs w:val="28"/>
        </w:rPr>
        <w:t>设想一下，假如我们是和人类有同等智力的病毒，生活在细胞中，每天看到的东西不是行星的运动、太阳的光谱，而是一个复杂而神奇的生物世界。那么，物理还会从牛顿力学开始吗？微积分还会是我们用途最广的数学工具吗？四大力学还会成为物理系的必修课吗？生命科学与物质科学、信息、工程等定量学科的交叉融合不仅正在使生命科学发生一场深刻的革命，而且也必将给这些传统定量学科带来巨大的机会和挑战。物理是一门探索万物之“理”的科学。而大自然中的生命现象给喜欢用物理的精神来思维的人提供了极为</w:t>
      </w:r>
      <w:r w:rsidRPr="00D04B15">
        <w:rPr>
          <w:rFonts w:asciiTheme="majorEastAsia" w:eastAsiaTheme="majorEastAsia" w:hAnsiTheme="majorEastAsia" w:cstheme="majorEastAsia" w:hint="eastAsia"/>
          <w:sz w:val="28"/>
          <w:szCs w:val="28"/>
        </w:rPr>
        <w:lastRenderedPageBreak/>
        <w:t>丰富的素材和巨大的想象空间。报告人将和大家一起分享他在这方面的一些体会、感想和工作。</w:t>
      </w:r>
    </w:p>
    <w:p w:rsidR="005352D6" w:rsidRPr="00D04B15" w:rsidRDefault="005352D6">
      <w:pPr>
        <w:rPr>
          <w:rFonts w:ascii="宋体" w:eastAsia="宋体" w:hAnsi="宋体" w:cs="Times New Roman"/>
          <w:sz w:val="28"/>
          <w:szCs w:val="28"/>
        </w:rPr>
      </w:pPr>
    </w:p>
    <w:p w:rsidR="005352D6" w:rsidRPr="00D04B15" w:rsidRDefault="00D15B08" w:rsidP="003F1818">
      <w:pPr>
        <w:adjustRightInd w:val="0"/>
        <w:snapToGrid w:val="0"/>
        <w:spacing w:line="520" w:lineRule="exact"/>
        <w:rPr>
          <w:rFonts w:ascii="宋体" w:eastAsia="宋体" w:hAnsi="宋体" w:cs="Times New Roman"/>
          <w:b/>
          <w:bCs/>
          <w:sz w:val="28"/>
          <w:szCs w:val="28"/>
        </w:rPr>
      </w:pPr>
      <w:r w:rsidRPr="00D04B15">
        <w:rPr>
          <w:rFonts w:ascii="宋体" w:eastAsia="宋体" w:hAnsi="宋体" w:cs="Times New Roman" w:hint="eastAsia"/>
          <w:b/>
          <w:bCs/>
          <w:sz w:val="28"/>
          <w:szCs w:val="28"/>
        </w:rPr>
        <w:t>四</w:t>
      </w:r>
      <w:r w:rsidR="003F1818" w:rsidRPr="00D04B15">
        <w:rPr>
          <w:rFonts w:ascii="宋体" w:eastAsia="宋体" w:hAnsi="宋体" w:cs="Times New Roman" w:hint="eastAsia"/>
          <w:b/>
          <w:bCs/>
          <w:sz w:val="28"/>
          <w:szCs w:val="28"/>
        </w:rPr>
        <w:t>、</w:t>
      </w:r>
      <w:r w:rsidRPr="00D04B15">
        <w:rPr>
          <w:rFonts w:ascii="宋体" w:eastAsia="宋体" w:hAnsi="宋体" w:cs="Times New Roman" w:hint="eastAsia"/>
          <w:b/>
          <w:bCs/>
          <w:sz w:val="28"/>
          <w:szCs w:val="28"/>
        </w:rPr>
        <w:t>汤雷翰</w:t>
      </w:r>
      <w:r w:rsidR="003F1818" w:rsidRPr="00D04B15">
        <w:rPr>
          <w:rFonts w:ascii="宋体" w:eastAsia="宋体" w:hAnsi="宋体" w:cs="Times New Roman" w:hint="eastAsia"/>
          <w:b/>
          <w:bCs/>
          <w:sz w:val="28"/>
          <w:szCs w:val="28"/>
        </w:rPr>
        <w:t>教授</w:t>
      </w:r>
    </w:p>
    <w:p w:rsidR="005352D6" w:rsidRPr="00D04B15" w:rsidRDefault="00D15B08">
      <w:pPr>
        <w:adjustRightInd w:val="0"/>
        <w:snapToGrid w:val="0"/>
        <w:spacing w:line="520" w:lineRule="atLeast"/>
        <w:ind w:firstLine="420"/>
        <w:rPr>
          <w:rFonts w:asciiTheme="majorEastAsia" w:eastAsiaTheme="majorEastAsia" w:hAnsiTheme="majorEastAsia" w:cstheme="majorEastAsia"/>
          <w:sz w:val="28"/>
          <w:szCs w:val="28"/>
        </w:rPr>
      </w:pPr>
      <w:r w:rsidRPr="00D04B15">
        <w:rPr>
          <w:rFonts w:asciiTheme="majorEastAsia" w:eastAsiaTheme="majorEastAsia" w:hAnsiTheme="majorEastAsia" w:cstheme="majorEastAsia" w:hint="eastAsia"/>
          <w:b/>
          <w:bCs/>
          <w:sz w:val="28"/>
          <w:szCs w:val="28"/>
        </w:rPr>
        <w:t>个人简介</w:t>
      </w:r>
      <w:r w:rsidRPr="00D04B15">
        <w:rPr>
          <w:rFonts w:asciiTheme="majorEastAsia" w:eastAsiaTheme="majorEastAsia" w:hAnsiTheme="majorEastAsia" w:cstheme="majorEastAsia" w:hint="eastAsia"/>
          <w:sz w:val="28"/>
          <w:szCs w:val="28"/>
        </w:rPr>
        <w:t>：汤雷翰，北京计算科学研究中心国家千人计划讲席教授，复杂系统研究部主任。1981年本科毕业于中国科技大学，1987年获得美国Carnegie Mellon University博士学位 。2010年当选为美国物理学会会士。主要从事统计物理理论及其在凝聚态和细胞生物学中的应用研究，目前担任IUPAP C3统计物理委员会委员，亚洲生物物理协会理事，及统计物理期刊（JSTAT）、</w:t>
      </w:r>
      <w:proofErr w:type="spellStart"/>
      <w:r w:rsidRPr="00D04B15">
        <w:rPr>
          <w:rFonts w:asciiTheme="majorEastAsia" w:eastAsiaTheme="majorEastAsia" w:hAnsiTheme="majorEastAsia" w:cstheme="majorEastAsia" w:hint="eastAsia"/>
          <w:sz w:val="28"/>
          <w:szCs w:val="28"/>
        </w:rPr>
        <w:t>JPhys</w:t>
      </w:r>
      <w:proofErr w:type="spellEnd"/>
      <w:r w:rsidRPr="00D04B15">
        <w:rPr>
          <w:rFonts w:asciiTheme="majorEastAsia" w:eastAsiaTheme="majorEastAsia" w:hAnsiTheme="majorEastAsia" w:cstheme="majorEastAsia" w:hint="eastAsia"/>
          <w:sz w:val="28"/>
          <w:szCs w:val="28"/>
        </w:rPr>
        <w:t xml:space="preserve"> A 和其他国际期刊的编委工作 。</w:t>
      </w:r>
    </w:p>
    <w:p w:rsidR="005352D6" w:rsidRPr="00D04B15" w:rsidRDefault="00D15B08" w:rsidP="003F1818">
      <w:pPr>
        <w:adjustRightInd w:val="0"/>
        <w:snapToGrid w:val="0"/>
        <w:spacing w:line="520" w:lineRule="atLeast"/>
        <w:ind w:firstLineChars="151" w:firstLine="424"/>
        <w:rPr>
          <w:rFonts w:asciiTheme="majorEastAsia" w:eastAsiaTheme="majorEastAsia" w:hAnsiTheme="majorEastAsia" w:cstheme="majorEastAsia"/>
          <w:sz w:val="28"/>
          <w:szCs w:val="28"/>
        </w:rPr>
      </w:pPr>
      <w:r w:rsidRPr="00D04B15">
        <w:rPr>
          <w:rFonts w:asciiTheme="majorEastAsia" w:eastAsiaTheme="majorEastAsia" w:hAnsiTheme="majorEastAsia" w:cstheme="majorEastAsia" w:hint="eastAsia"/>
          <w:b/>
          <w:bCs/>
          <w:sz w:val="28"/>
          <w:szCs w:val="28"/>
        </w:rPr>
        <w:t>报告题目：</w:t>
      </w:r>
      <w:r w:rsidRPr="00D04B15">
        <w:rPr>
          <w:rFonts w:asciiTheme="majorEastAsia" w:eastAsiaTheme="majorEastAsia" w:hAnsiTheme="majorEastAsia" w:cstheme="majorEastAsia" w:hint="eastAsia"/>
          <w:bCs/>
          <w:sz w:val="28"/>
          <w:szCs w:val="28"/>
        </w:rPr>
        <w:t>细胞的时间箭头</w:t>
      </w:r>
      <w:r w:rsidRPr="00D04B15">
        <w:rPr>
          <w:rFonts w:asciiTheme="majorEastAsia" w:eastAsiaTheme="majorEastAsia" w:hAnsiTheme="majorEastAsia" w:cstheme="majorEastAsia" w:hint="eastAsia"/>
          <w:sz w:val="28"/>
          <w:szCs w:val="28"/>
        </w:rPr>
        <w:t xml:space="preserve">                                                    </w:t>
      </w:r>
    </w:p>
    <w:p w:rsidR="005352D6" w:rsidRPr="00D04B15" w:rsidRDefault="00D15B08" w:rsidP="003F1818">
      <w:pPr>
        <w:adjustRightInd w:val="0"/>
        <w:snapToGrid w:val="0"/>
        <w:spacing w:line="520" w:lineRule="atLeast"/>
        <w:ind w:firstLineChars="151" w:firstLine="424"/>
        <w:rPr>
          <w:rFonts w:asciiTheme="majorEastAsia" w:eastAsiaTheme="majorEastAsia" w:hAnsiTheme="majorEastAsia" w:cstheme="majorEastAsia"/>
          <w:sz w:val="28"/>
          <w:szCs w:val="28"/>
        </w:rPr>
      </w:pPr>
      <w:r w:rsidRPr="00D04B15">
        <w:rPr>
          <w:rFonts w:asciiTheme="majorEastAsia" w:eastAsiaTheme="majorEastAsia" w:hAnsiTheme="majorEastAsia" w:cstheme="majorEastAsia" w:hint="eastAsia"/>
          <w:b/>
          <w:bCs/>
          <w:sz w:val="28"/>
          <w:szCs w:val="28"/>
        </w:rPr>
        <w:t>报告摘要</w:t>
      </w:r>
      <w:r w:rsidRPr="00D04B15">
        <w:rPr>
          <w:rFonts w:asciiTheme="majorEastAsia" w:eastAsiaTheme="majorEastAsia" w:hAnsiTheme="majorEastAsia" w:cstheme="majorEastAsia" w:hint="eastAsia"/>
          <w:sz w:val="28"/>
          <w:szCs w:val="28"/>
        </w:rPr>
        <w:t>：早在1944年，薛定</w:t>
      </w:r>
      <w:proofErr w:type="gramStart"/>
      <w:r w:rsidRPr="00D04B15">
        <w:rPr>
          <w:rFonts w:asciiTheme="majorEastAsia" w:eastAsiaTheme="majorEastAsia" w:hAnsiTheme="majorEastAsia" w:cstheme="majorEastAsia" w:hint="eastAsia"/>
          <w:sz w:val="28"/>
          <w:szCs w:val="28"/>
        </w:rPr>
        <w:t>谔</w:t>
      </w:r>
      <w:proofErr w:type="gramEnd"/>
      <w:r w:rsidRPr="00D04B15">
        <w:rPr>
          <w:rFonts w:asciiTheme="majorEastAsia" w:eastAsiaTheme="majorEastAsia" w:hAnsiTheme="majorEastAsia" w:cstheme="majorEastAsia" w:hint="eastAsia"/>
          <w:sz w:val="28"/>
          <w:szCs w:val="28"/>
        </w:rPr>
        <w:t>在他那本著名的小册子《生命是什么》就引入了负熵的概念，解释细胞内物质的有序运动。最近二十年涨落热力学理论的发展，让我们可以系统的分析生物大分子及细胞层面上各类形式的能量传输及转换过程，将生命系统所表现的动态行为与</w:t>
      </w:r>
      <w:proofErr w:type="gramStart"/>
      <w:r w:rsidRPr="00D04B15">
        <w:rPr>
          <w:rFonts w:asciiTheme="majorEastAsia" w:eastAsiaTheme="majorEastAsia" w:hAnsiTheme="majorEastAsia" w:cstheme="majorEastAsia" w:hint="eastAsia"/>
          <w:sz w:val="28"/>
          <w:szCs w:val="28"/>
        </w:rPr>
        <w:t>时间反演破却联系</w:t>
      </w:r>
      <w:proofErr w:type="gramEnd"/>
      <w:r w:rsidRPr="00D04B15">
        <w:rPr>
          <w:rFonts w:asciiTheme="majorEastAsia" w:eastAsiaTheme="majorEastAsia" w:hAnsiTheme="majorEastAsia" w:cstheme="majorEastAsia" w:hint="eastAsia"/>
          <w:sz w:val="28"/>
          <w:szCs w:val="28"/>
        </w:rPr>
        <w:t>起来。这里通过对F1 ATP降解酶能量转换效率及细胞群体振荡发生原理的探讨，介绍该交叉研究领域的若干最新进展。</w:t>
      </w:r>
    </w:p>
    <w:p w:rsidR="005352D6" w:rsidRPr="00D04B15" w:rsidRDefault="005352D6">
      <w:pPr>
        <w:snapToGrid w:val="0"/>
        <w:spacing w:line="480" w:lineRule="exact"/>
        <w:rPr>
          <w:rFonts w:ascii="宋体" w:eastAsia="宋体" w:hAnsi="宋体" w:cs="Times New Roman"/>
          <w:sz w:val="28"/>
          <w:szCs w:val="28"/>
        </w:rPr>
      </w:pPr>
    </w:p>
    <w:p w:rsidR="003F1818" w:rsidRPr="00D04B15" w:rsidRDefault="003F1818" w:rsidP="003F1818">
      <w:pPr>
        <w:adjustRightInd w:val="0"/>
        <w:snapToGrid w:val="0"/>
        <w:spacing w:line="520" w:lineRule="exact"/>
        <w:rPr>
          <w:rFonts w:ascii="宋体" w:eastAsia="宋体" w:hAnsi="宋体" w:cs="Times New Roman"/>
          <w:b/>
          <w:bCs/>
          <w:sz w:val="28"/>
          <w:szCs w:val="28"/>
        </w:rPr>
      </w:pPr>
      <w:r w:rsidRPr="00D04B15">
        <w:rPr>
          <w:rFonts w:ascii="宋体" w:eastAsia="宋体" w:hAnsi="宋体" w:cs="Times New Roman" w:hint="eastAsia"/>
          <w:b/>
          <w:bCs/>
          <w:sz w:val="28"/>
          <w:szCs w:val="28"/>
        </w:rPr>
        <w:t>五、</w:t>
      </w:r>
      <w:r w:rsidR="00D15B08" w:rsidRPr="00D04B15">
        <w:rPr>
          <w:rFonts w:ascii="宋体" w:eastAsia="宋体" w:hAnsi="宋体" w:cs="Times New Roman" w:hint="eastAsia"/>
          <w:b/>
          <w:bCs/>
          <w:sz w:val="28"/>
          <w:szCs w:val="28"/>
        </w:rPr>
        <w:t>郑波</w:t>
      </w:r>
      <w:r w:rsidRPr="00D04B15">
        <w:rPr>
          <w:rFonts w:ascii="宋体" w:eastAsia="宋体" w:hAnsi="宋体" w:cs="Times New Roman" w:hint="eastAsia"/>
          <w:b/>
          <w:bCs/>
          <w:sz w:val="28"/>
          <w:szCs w:val="28"/>
        </w:rPr>
        <w:t>教授</w:t>
      </w:r>
      <w:r w:rsidR="00D15B08" w:rsidRPr="00D04B15">
        <w:rPr>
          <w:rFonts w:ascii="宋体" w:eastAsia="宋体" w:hAnsi="宋体" w:cs="Times New Roman" w:hint="eastAsia"/>
          <w:b/>
          <w:bCs/>
          <w:sz w:val="28"/>
          <w:szCs w:val="28"/>
        </w:rPr>
        <w:t xml:space="preserve"> </w:t>
      </w:r>
    </w:p>
    <w:p w:rsidR="005352D6" w:rsidRPr="00D04B15" w:rsidRDefault="00D15B08" w:rsidP="003F1818">
      <w:pPr>
        <w:adjustRightInd w:val="0"/>
        <w:snapToGrid w:val="0"/>
        <w:spacing w:line="520" w:lineRule="exact"/>
        <w:ind w:firstLineChars="151" w:firstLine="424"/>
        <w:rPr>
          <w:rFonts w:ascii="宋体" w:eastAsia="宋体" w:hAnsi="宋体" w:cs="Times New Roman"/>
          <w:b/>
          <w:bCs/>
          <w:sz w:val="28"/>
          <w:szCs w:val="28"/>
        </w:rPr>
      </w:pPr>
      <w:r w:rsidRPr="00D04B15">
        <w:rPr>
          <w:rFonts w:asciiTheme="majorEastAsia" w:eastAsiaTheme="majorEastAsia" w:hAnsiTheme="majorEastAsia" w:cstheme="majorEastAsia" w:hint="eastAsia"/>
          <w:b/>
          <w:bCs/>
          <w:sz w:val="28"/>
          <w:szCs w:val="28"/>
        </w:rPr>
        <w:t>个人简介</w:t>
      </w:r>
      <w:r w:rsidRPr="00D04B15">
        <w:rPr>
          <w:rFonts w:asciiTheme="majorEastAsia" w:eastAsiaTheme="majorEastAsia" w:hAnsiTheme="majorEastAsia" w:cstheme="majorEastAsia" w:hint="eastAsia"/>
          <w:sz w:val="28"/>
          <w:szCs w:val="28"/>
        </w:rPr>
        <w:t>：郑波，浙江大学教授，教育部长</w:t>
      </w:r>
      <w:proofErr w:type="gramStart"/>
      <w:r w:rsidRPr="00D04B15">
        <w:rPr>
          <w:rFonts w:asciiTheme="majorEastAsia" w:eastAsiaTheme="majorEastAsia" w:hAnsiTheme="majorEastAsia" w:cstheme="majorEastAsia" w:hint="eastAsia"/>
          <w:sz w:val="28"/>
          <w:szCs w:val="28"/>
        </w:rPr>
        <w:t>江学者</w:t>
      </w:r>
      <w:proofErr w:type="gramEnd"/>
      <w:r w:rsidRPr="00D04B15">
        <w:rPr>
          <w:rFonts w:asciiTheme="majorEastAsia" w:eastAsiaTheme="majorEastAsia" w:hAnsiTheme="majorEastAsia" w:cstheme="majorEastAsia" w:hint="eastAsia"/>
          <w:sz w:val="28"/>
          <w:szCs w:val="28"/>
        </w:rPr>
        <w:t>特聘教授。1977级中山大学物理系本科生，1987年于中山大学获博士学位，1990-2002年在德国Siegen大学和马丁路德Halle大学从事研究工作，2001年获聘教育部长</w:t>
      </w:r>
      <w:proofErr w:type="gramStart"/>
      <w:r w:rsidRPr="00D04B15">
        <w:rPr>
          <w:rFonts w:asciiTheme="majorEastAsia" w:eastAsiaTheme="majorEastAsia" w:hAnsiTheme="majorEastAsia" w:cstheme="majorEastAsia" w:hint="eastAsia"/>
          <w:sz w:val="28"/>
          <w:szCs w:val="28"/>
        </w:rPr>
        <w:t>江学者</w:t>
      </w:r>
      <w:proofErr w:type="gramEnd"/>
      <w:r w:rsidRPr="00D04B15">
        <w:rPr>
          <w:rFonts w:asciiTheme="majorEastAsia" w:eastAsiaTheme="majorEastAsia" w:hAnsiTheme="majorEastAsia" w:cstheme="majorEastAsia" w:hint="eastAsia"/>
          <w:sz w:val="28"/>
          <w:szCs w:val="28"/>
        </w:rPr>
        <w:t>特聘教授，现任浙江大学物理系教授，2010年至2017年任浙江大学物理系主任（院长），2003年获国家杰出青年</w:t>
      </w:r>
      <w:r w:rsidRPr="00D04B15">
        <w:rPr>
          <w:rFonts w:asciiTheme="majorEastAsia" w:eastAsiaTheme="majorEastAsia" w:hAnsiTheme="majorEastAsia" w:cstheme="majorEastAsia" w:hint="eastAsia"/>
          <w:sz w:val="28"/>
          <w:szCs w:val="28"/>
        </w:rPr>
        <w:lastRenderedPageBreak/>
        <w:t>基金。2006年起任&lt;Computer Physics Communications&gt;专家编辑，2009年至今任《Chinese Physics B》和《物理学报》编委。2013年至今任浙江省物理学会副理事长。2011年起任“中国物理学秋季年会统计物理与复杂系统分会”召集人，2015年起任“全国统计物理与复杂系统年会”副主席。2013年起任全国中学生英才计划工作委员会委员。郑波博士研究方向主要包括非平衡态统计物理、计算机模拟物理、金融物理和复杂动力学系统。</w:t>
      </w:r>
    </w:p>
    <w:p w:rsidR="005352D6" w:rsidRPr="00D04B15" w:rsidRDefault="00D15B08" w:rsidP="003F1818">
      <w:pPr>
        <w:adjustRightInd w:val="0"/>
        <w:snapToGrid w:val="0"/>
        <w:spacing w:line="520" w:lineRule="exact"/>
        <w:ind w:firstLineChars="151" w:firstLine="424"/>
        <w:rPr>
          <w:rFonts w:asciiTheme="majorEastAsia" w:eastAsiaTheme="majorEastAsia" w:hAnsiTheme="majorEastAsia" w:cstheme="majorEastAsia"/>
          <w:sz w:val="28"/>
          <w:szCs w:val="28"/>
        </w:rPr>
      </w:pPr>
      <w:r w:rsidRPr="00D04B15">
        <w:rPr>
          <w:rFonts w:asciiTheme="majorEastAsia" w:eastAsiaTheme="majorEastAsia" w:hAnsiTheme="majorEastAsia" w:cstheme="majorEastAsia" w:hint="eastAsia"/>
          <w:b/>
          <w:bCs/>
          <w:sz w:val="28"/>
          <w:szCs w:val="28"/>
        </w:rPr>
        <w:t>报告题目</w:t>
      </w:r>
      <w:r w:rsidRPr="00D04B15">
        <w:rPr>
          <w:rFonts w:asciiTheme="majorEastAsia" w:eastAsiaTheme="majorEastAsia" w:hAnsiTheme="majorEastAsia" w:cstheme="majorEastAsia" w:hint="eastAsia"/>
          <w:sz w:val="28"/>
          <w:szCs w:val="28"/>
        </w:rPr>
        <w:t>：</w:t>
      </w:r>
      <w:r w:rsidRPr="00D04B15">
        <w:rPr>
          <w:rFonts w:asciiTheme="majorEastAsia" w:eastAsiaTheme="majorEastAsia" w:hAnsiTheme="majorEastAsia" w:cstheme="majorEastAsia" w:hint="eastAsia"/>
          <w:bCs/>
          <w:sz w:val="28"/>
          <w:szCs w:val="28"/>
        </w:rPr>
        <w:t>物理与金融</w:t>
      </w:r>
    </w:p>
    <w:p w:rsidR="005352D6" w:rsidRPr="00D04B15" w:rsidRDefault="00D15B08" w:rsidP="003F1818">
      <w:pPr>
        <w:adjustRightInd w:val="0"/>
        <w:snapToGrid w:val="0"/>
        <w:spacing w:line="520" w:lineRule="exact"/>
        <w:ind w:firstLineChars="151" w:firstLine="424"/>
        <w:rPr>
          <w:rFonts w:asciiTheme="majorEastAsia" w:eastAsiaTheme="majorEastAsia" w:hAnsiTheme="majorEastAsia" w:cstheme="majorEastAsia"/>
          <w:sz w:val="28"/>
          <w:szCs w:val="28"/>
        </w:rPr>
      </w:pPr>
      <w:r w:rsidRPr="00D04B15">
        <w:rPr>
          <w:rFonts w:asciiTheme="majorEastAsia" w:eastAsiaTheme="majorEastAsia" w:hAnsiTheme="majorEastAsia" w:cstheme="majorEastAsia" w:hint="eastAsia"/>
          <w:b/>
          <w:bCs/>
          <w:sz w:val="28"/>
          <w:szCs w:val="28"/>
        </w:rPr>
        <w:t>报告摘要</w:t>
      </w:r>
      <w:r w:rsidRPr="00D04B15">
        <w:rPr>
          <w:rFonts w:asciiTheme="majorEastAsia" w:eastAsiaTheme="majorEastAsia" w:hAnsiTheme="majorEastAsia" w:cstheme="majorEastAsia" w:hint="eastAsia"/>
          <w:sz w:val="28"/>
          <w:szCs w:val="28"/>
        </w:rPr>
        <w:t>：物理学家为什么对金融感兴趣？物理学方法如何探讨金融动力学？运动方程未知怎么办？</w:t>
      </w:r>
    </w:p>
    <w:p w:rsidR="005352D6" w:rsidRPr="00D04B15" w:rsidRDefault="00D15B08">
      <w:pPr>
        <w:adjustRightInd w:val="0"/>
        <w:snapToGrid w:val="0"/>
        <w:spacing w:line="520" w:lineRule="exact"/>
        <w:rPr>
          <w:rFonts w:asciiTheme="majorEastAsia" w:eastAsiaTheme="majorEastAsia" w:hAnsiTheme="majorEastAsia" w:cstheme="majorEastAsia"/>
          <w:sz w:val="28"/>
          <w:szCs w:val="28"/>
        </w:rPr>
      </w:pPr>
      <w:r w:rsidRPr="00D04B15">
        <w:rPr>
          <w:rFonts w:asciiTheme="majorEastAsia" w:eastAsiaTheme="majorEastAsia" w:hAnsiTheme="majorEastAsia" w:cstheme="majorEastAsia" w:hint="eastAsia"/>
          <w:sz w:val="28"/>
          <w:szCs w:val="28"/>
        </w:rPr>
        <w:t xml:space="preserve">    定性学科的定量化是必由之路，而在这条道路上金融首当其冲。对物理学家而言，金融是一片广阔的处女地，具有极大的挑战性。本讲座首先扼要综述近年来金融物理研究的前沿动态，阐述统计物理学方法在金融动力学中的应用，然后重点报告课题组的最新研究进展，特别关注大数据信息时代的时间、空间关联函数计算和微观模型的构建，及其在投资策略的潜在应用。</w:t>
      </w:r>
    </w:p>
    <w:p w:rsidR="005352D6" w:rsidRPr="00D04B15" w:rsidRDefault="005352D6">
      <w:pPr>
        <w:rPr>
          <w:sz w:val="28"/>
          <w:szCs w:val="28"/>
        </w:rPr>
      </w:pPr>
    </w:p>
    <w:sectPr w:rsidR="005352D6" w:rsidRPr="00D04B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EB5" w:rsidRDefault="00DC7EB5" w:rsidP="003F1818">
      <w:r>
        <w:separator/>
      </w:r>
    </w:p>
  </w:endnote>
  <w:endnote w:type="continuationSeparator" w:id="0">
    <w:p w:rsidR="00DC7EB5" w:rsidRDefault="00DC7EB5" w:rsidP="003F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EB5" w:rsidRDefault="00DC7EB5" w:rsidP="003F1818">
      <w:r>
        <w:separator/>
      </w:r>
    </w:p>
  </w:footnote>
  <w:footnote w:type="continuationSeparator" w:id="0">
    <w:p w:rsidR="00DC7EB5" w:rsidRDefault="00DC7EB5" w:rsidP="003F1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488561"/>
    <w:multiLevelType w:val="singleLevel"/>
    <w:tmpl w:val="F9488561"/>
    <w:lvl w:ilvl="0">
      <w:start w:val="2"/>
      <w:numFmt w:val="chineseCounting"/>
      <w:suff w:val="nothing"/>
      <w:lvlText w:val="（%1）"/>
      <w:lvlJc w:val="left"/>
      <w:rPr>
        <w:rFonts w:hint="eastAsia"/>
      </w:rPr>
    </w:lvl>
  </w:abstractNum>
  <w:abstractNum w:abstractNumId="1">
    <w:nsid w:val="4AB247D9"/>
    <w:multiLevelType w:val="multilevel"/>
    <w:tmpl w:val="4AB247D9"/>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3DD"/>
    <w:rsid w:val="002C5448"/>
    <w:rsid w:val="003F1818"/>
    <w:rsid w:val="005352D6"/>
    <w:rsid w:val="005F267E"/>
    <w:rsid w:val="00606789"/>
    <w:rsid w:val="007433DD"/>
    <w:rsid w:val="00C73A20"/>
    <w:rsid w:val="00D04B15"/>
    <w:rsid w:val="00D15B08"/>
    <w:rsid w:val="00DC7EB5"/>
    <w:rsid w:val="024830A3"/>
    <w:rsid w:val="0B8F53F2"/>
    <w:rsid w:val="20A50AB1"/>
    <w:rsid w:val="3010398A"/>
    <w:rsid w:val="34D71B15"/>
    <w:rsid w:val="3A2D0081"/>
    <w:rsid w:val="410D6624"/>
    <w:rsid w:val="454C0A17"/>
    <w:rsid w:val="47CD26A0"/>
    <w:rsid w:val="48DD17F5"/>
    <w:rsid w:val="4C961621"/>
    <w:rsid w:val="50997C96"/>
    <w:rsid w:val="5426455E"/>
    <w:rsid w:val="56C4205B"/>
    <w:rsid w:val="6DDE4E39"/>
    <w:rsid w:val="6DE42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Char">
    <w:name w:val="批注框文本 Char"/>
    <w:basedOn w:val="a0"/>
    <w:link w:val="a3"/>
    <w:uiPriority w:val="99"/>
    <w:semiHidden/>
    <w:qFormat/>
    <w:rPr>
      <w:sz w:val="18"/>
      <w:szCs w:val="18"/>
    </w:rPr>
  </w:style>
  <w:style w:type="paragraph" w:styleId="a5">
    <w:name w:val="header"/>
    <w:basedOn w:val="a"/>
    <w:link w:val="Char0"/>
    <w:uiPriority w:val="99"/>
    <w:unhideWhenUsed/>
    <w:rsid w:val="003F1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F1818"/>
    <w:rPr>
      <w:kern w:val="2"/>
      <w:sz w:val="18"/>
      <w:szCs w:val="18"/>
    </w:rPr>
  </w:style>
  <w:style w:type="paragraph" w:styleId="a6">
    <w:name w:val="footer"/>
    <w:basedOn w:val="a"/>
    <w:link w:val="Char1"/>
    <w:uiPriority w:val="99"/>
    <w:unhideWhenUsed/>
    <w:rsid w:val="003F1818"/>
    <w:pPr>
      <w:tabs>
        <w:tab w:val="center" w:pos="4153"/>
        <w:tab w:val="right" w:pos="8306"/>
      </w:tabs>
      <w:snapToGrid w:val="0"/>
      <w:jc w:val="left"/>
    </w:pPr>
    <w:rPr>
      <w:sz w:val="18"/>
      <w:szCs w:val="18"/>
    </w:rPr>
  </w:style>
  <w:style w:type="character" w:customStyle="1" w:styleId="Char1">
    <w:name w:val="页脚 Char"/>
    <w:basedOn w:val="a0"/>
    <w:link w:val="a6"/>
    <w:uiPriority w:val="99"/>
    <w:rsid w:val="003F181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Char">
    <w:name w:val="批注框文本 Char"/>
    <w:basedOn w:val="a0"/>
    <w:link w:val="a3"/>
    <w:uiPriority w:val="99"/>
    <w:semiHidden/>
    <w:qFormat/>
    <w:rPr>
      <w:sz w:val="18"/>
      <w:szCs w:val="18"/>
    </w:rPr>
  </w:style>
  <w:style w:type="paragraph" w:styleId="a5">
    <w:name w:val="header"/>
    <w:basedOn w:val="a"/>
    <w:link w:val="Char0"/>
    <w:uiPriority w:val="99"/>
    <w:unhideWhenUsed/>
    <w:rsid w:val="003F1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F1818"/>
    <w:rPr>
      <w:kern w:val="2"/>
      <w:sz w:val="18"/>
      <w:szCs w:val="18"/>
    </w:rPr>
  </w:style>
  <w:style w:type="paragraph" w:styleId="a6">
    <w:name w:val="footer"/>
    <w:basedOn w:val="a"/>
    <w:link w:val="Char1"/>
    <w:uiPriority w:val="99"/>
    <w:unhideWhenUsed/>
    <w:rsid w:val="003F1818"/>
    <w:pPr>
      <w:tabs>
        <w:tab w:val="center" w:pos="4153"/>
        <w:tab w:val="right" w:pos="8306"/>
      </w:tabs>
      <w:snapToGrid w:val="0"/>
      <w:jc w:val="left"/>
    </w:pPr>
    <w:rPr>
      <w:sz w:val="18"/>
      <w:szCs w:val="18"/>
    </w:rPr>
  </w:style>
  <w:style w:type="character" w:customStyle="1" w:styleId="Char1">
    <w:name w:val="页脚 Char"/>
    <w:basedOn w:val="a0"/>
    <w:link w:val="a6"/>
    <w:uiPriority w:val="99"/>
    <w:rsid w:val="003F18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757</Words>
  <Characters>4321</Characters>
  <Application>Microsoft Office Word</Application>
  <DocSecurity>0</DocSecurity>
  <Lines>36</Lines>
  <Paragraphs>10</Paragraphs>
  <ScaleCrop>false</ScaleCrop>
  <Company>微软中国</Company>
  <LinksUpToDate>false</LinksUpToDate>
  <CharactersWithSpaces>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6</cp:revision>
  <dcterms:created xsi:type="dcterms:W3CDTF">2018-11-19T07:44:00Z</dcterms:created>
  <dcterms:modified xsi:type="dcterms:W3CDTF">2018-11-19T07:47:00Z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